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BBB" w:rsidRPr="000C3BFF" w:rsidRDefault="000C3BFF" w:rsidP="000C3BFF">
      <w:pPr>
        <w:autoSpaceDE w:val="0"/>
        <w:autoSpaceDN w:val="0"/>
        <w:adjustRightInd w:val="0"/>
        <w:spacing w:before="240" w:after="240" w:line="360" w:lineRule="auto"/>
        <w:contextualSpacing/>
        <w:jc w:val="center"/>
        <w:rPr>
          <w:rFonts w:ascii="Arial" w:eastAsia="MS Mincho" w:hAnsi="Arial" w:cs="Arial"/>
          <w:b/>
          <w:i/>
          <w:lang w:eastAsia="es-CO"/>
        </w:rPr>
      </w:pPr>
      <w:bookmarkStart w:id="0" w:name="_GoBack"/>
      <w:bookmarkEnd w:id="0"/>
      <w:r w:rsidRPr="000C3BFF">
        <w:rPr>
          <w:rFonts w:ascii="Arial" w:eastAsia="MS Mincho" w:hAnsi="Arial" w:cs="Arial"/>
          <w:b/>
          <w:i/>
          <w:lang w:eastAsia="es-CO"/>
        </w:rPr>
        <w:t>OFICINA DE CONTROL INTERNO</w:t>
      </w:r>
    </w:p>
    <w:p w:rsidR="000C3BFF" w:rsidRPr="000C3BFF" w:rsidRDefault="000C3BFF" w:rsidP="000C3BFF">
      <w:pPr>
        <w:autoSpaceDE w:val="0"/>
        <w:autoSpaceDN w:val="0"/>
        <w:adjustRightInd w:val="0"/>
        <w:spacing w:before="240" w:after="240" w:line="360" w:lineRule="auto"/>
        <w:contextualSpacing/>
        <w:jc w:val="center"/>
        <w:rPr>
          <w:rFonts w:ascii="Arial" w:eastAsia="MS Mincho" w:hAnsi="Arial" w:cs="Arial"/>
          <w:b/>
          <w:i/>
          <w:lang w:eastAsia="es-CO"/>
        </w:rPr>
      </w:pPr>
      <w:r w:rsidRPr="000C3BFF">
        <w:rPr>
          <w:rFonts w:ascii="Arial" w:eastAsia="MS Mincho" w:hAnsi="Arial" w:cs="Arial"/>
          <w:b/>
          <w:i/>
          <w:lang w:eastAsia="es-CO"/>
        </w:rPr>
        <w:t>INFORME PARCIAL DE CONTROL INTERNO CONTABLE</w:t>
      </w:r>
    </w:p>
    <w:p w:rsidR="000C3BFF" w:rsidRDefault="000C3BFF" w:rsidP="000C3BFF">
      <w:pPr>
        <w:autoSpaceDE w:val="0"/>
        <w:autoSpaceDN w:val="0"/>
        <w:adjustRightInd w:val="0"/>
        <w:spacing w:before="240" w:after="240" w:line="360" w:lineRule="auto"/>
        <w:contextualSpacing/>
        <w:jc w:val="center"/>
        <w:rPr>
          <w:rFonts w:ascii="Arial" w:eastAsia="MS Mincho" w:hAnsi="Arial" w:cs="Arial"/>
          <w:lang w:eastAsia="es-CO"/>
        </w:rPr>
      </w:pPr>
      <w:r>
        <w:rPr>
          <w:rFonts w:ascii="Arial" w:eastAsia="MS Mincho" w:hAnsi="Arial" w:cs="Arial"/>
          <w:lang w:eastAsia="es-CO"/>
        </w:rPr>
        <w:t>Al 30 de noviembre de 2019</w:t>
      </w:r>
    </w:p>
    <w:p w:rsidR="000C3BFF" w:rsidRPr="0019614A" w:rsidRDefault="000C3BFF" w:rsidP="000C3BFF">
      <w:pPr>
        <w:autoSpaceDE w:val="0"/>
        <w:autoSpaceDN w:val="0"/>
        <w:adjustRightInd w:val="0"/>
        <w:spacing w:before="240" w:after="240" w:line="360" w:lineRule="auto"/>
        <w:contextualSpacing/>
        <w:jc w:val="center"/>
        <w:rPr>
          <w:rFonts w:ascii="Arial" w:eastAsia="Times New Roman" w:hAnsi="Arial" w:cs="Arial"/>
          <w:bCs/>
          <w:color w:val="000000"/>
          <w:lang w:eastAsia="es-CO"/>
        </w:rPr>
      </w:pPr>
    </w:p>
    <w:p w:rsidR="00275BBB" w:rsidRPr="0019614A" w:rsidRDefault="00275BBB" w:rsidP="0019614A">
      <w:pPr>
        <w:autoSpaceDE w:val="0"/>
        <w:autoSpaceDN w:val="0"/>
        <w:adjustRightInd w:val="0"/>
        <w:spacing w:before="360" w:after="360" w:line="360" w:lineRule="auto"/>
        <w:jc w:val="both"/>
        <w:rPr>
          <w:rFonts w:ascii="Arial" w:eastAsia="Times New Roman" w:hAnsi="Arial" w:cs="Arial"/>
          <w:bCs/>
          <w:color w:val="000000"/>
          <w:lang w:eastAsia="es-CO"/>
        </w:rPr>
      </w:pPr>
      <w:r w:rsidRPr="0019614A">
        <w:rPr>
          <w:rFonts w:ascii="Arial" w:eastAsia="Times New Roman" w:hAnsi="Arial" w:cs="Arial"/>
          <w:bCs/>
          <w:color w:val="000000"/>
          <w:lang w:eastAsia="es-CO"/>
        </w:rPr>
        <w:t>En cumplimiento a lo establecido en la Circular Externa 003 de 2019 de la Contaduría General de la Nación, la cual establece que para el proceso de empalme se debe presentar el informe de Control Interno Contable con corte parcial al 30 de noviembre de 2019, la Oficina de Control Interno llevó a cabo dicha Evaluación, por lo anterior, se realizaron las siguientes actividades:</w:t>
      </w:r>
    </w:p>
    <w:p w:rsidR="00275BBB" w:rsidRPr="0019614A" w:rsidRDefault="00275BBB" w:rsidP="00AA2672">
      <w:pPr>
        <w:pStyle w:val="Prrafodelista"/>
        <w:numPr>
          <w:ilvl w:val="0"/>
          <w:numId w:val="20"/>
        </w:numPr>
        <w:autoSpaceDE w:val="0"/>
        <w:autoSpaceDN w:val="0"/>
        <w:adjustRightInd w:val="0"/>
        <w:spacing w:after="120" w:line="360" w:lineRule="auto"/>
        <w:ind w:left="357" w:hanging="357"/>
        <w:contextualSpacing w:val="0"/>
        <w:jc w:val="both"/>
        <w:rPr>
          <w:rFonts w:ascii="Arial" w:hAnsi="Arial" w:cs="Arial"/>
          <w:bCs/>
          <w:color w:val="000000"/>
          <w:sz w:val="22"/>
          <w:szCs w:val="22"/>
          <w:lang w:eastAsia="es-CO"/>
        </w:rPr>
      </w:pPr>
      <w:r w:rsidRPr="0019614A">
        <w:rPr>
          <w:rFonts w:ascii="Arial" w:hAnsi="Arial" w:cs="Arial"/>
          <w:bCs/>
          <w:color w:val="000000"/>
          <w:sz w:val="22"/>
          <w:szCs w:val="22"/>
          <w:lang w:eastAsia="es-CO"/>
        </w:rPr>
        <w:t>Mediante correo electrónico de noviembre 22 de 2019</w:t>
      </w:r>
      <w:r w:rsidR="000C3BFF">
        <w:rPr>
          <w:rFonts w:ascii="Arial" w:hAnsi="Arial" w:cs="Arial"/>
          <w:bCs/>
          <w:color w:val="000000"/>
          <w:sz w:val="22"/>
          <w:szCs w:val="22"/>
          <w:lang w:eastAsia="es-CO"/>
        </w:rPr>
        <w:t xml:space="preserve">, </w:t>
      </w:r>
      <w:r w:rsidR="000C3BFF" w:rsidRPr="0019614A">
        <w:rPr>
          <w:rFonts w:ascii="Arial" w:hAnsi="Arial" w:cs="Arial"/>
          <w:bCs/>
          <w:color w:val="000000"/>
          <w:sz w:val="22"/>
          <w:szCs w:val="22"/>
          <w:lang w:eastAsia="es-CO"/>
        </w:rPr>
        <w:t>como medida de autoevaluación,</w:t>
      </w:r>
      <w:r w:rsidR="000C3BFF">
        <w:rPr>
          <w:rFonts w:ascii="Arial" w:hAnsi="Arial" w:cs="Arial"/>
          <w:bCs/>
          <w:color w:val="000000"/>
          <w:sz w:val="22"/>
          <w:szCs w:val="22"/>
          <w:lang w:eastAsia="es-CO"/>
        </w:rPr>
        <w:t xml:space="preserve"> </w:t>
      </w:r>
      <w:r w:rsidRPr="0019614A">
        <w:rPr>
          <w:rFonts w:ascii="Arial" w:hAnsi="Arial" w:cs="Arial"/>
          <w:bCs/>
          <w:color w:val="000000"/>
          <w:sz w:val="22"/>
          <w:szCs w:val="22"/>
          <w:lang w:eastAsia="es-CO"/>
        </w:rPr>
        <w:t>se remitió a la Profesional Especializada Grado 6 – Contador General de la Dirección Corporativa, el formulario de Control Interno Contable</w:t>
      </w:r>
      <w:r w:rsidR="000C3BFF">
        <w:rPr>
          <w:rFonts w:ascii="Arial" w:hAnsi="Arial" w:cs="Arial"/>
          <w:bCs/>
          <w:color w:val="000000"/>
          <w:sz w:val="22"/>
          <w:szCs w:val="22"/>
          <w:lang w:eastAsia="es-CO"/>
        </w:rPr>
        <w:t xml:space="preserve"> establecido</w:t>
      </w:r>
      <w:r w:rsidR="007B01B6">
        <w:rPr>
          <w:rFonts w:ascii="Arial" w:hAnsi="Arial" w:cs="Arial"/>
          <w:bCs/>
          <w:color w:val="000000"/>
          <w:sz w:val="22"/>
          <w:szCs w:val="22"/>
          <w:lang w:eastAsia="es-CO"/>
        </w:rPr>
        <w:t xml:space="preserve"> por la Contaduría General de la Nación</w:t>
      </w:r>
      <w:r w:rsidRPr="0019614A">
        <w:rPr>
          <w:rFonts w:ascii="Arial" w:hAnsi="Arial" w:cs="Arial"/>
          <w:bCs/>
          <w:color w:val="000000"/>
          <w:sz w:val="22"/>
          <w:szCs w:val="22"/>
          <w:lang w:eastAsia="es-CO"/>
        </w:rPr>
        <w:t>, el cual fue respondido por el mismo medio en diciembre 6 de 2019.</w:t>
      </w:r>
    </w:p>
    <w:p w:rsidR="00275BBB" w:rsidRPr="0019614A" w:rsidRDefault="00275BBB" w:rsidP="00275BBB">
      <w:pPr>
        <w:pStyle w:val="Prrafodelista"/>
        <w:numPr>
          <w:ilvl w:val="0"/>
          <w:numId w:val="20"/>
        </w:numPr>
        <w:autoSpaceDE w:val="0"/>
        <w:autoSpaceDN w:val="0"/>
        <w:adjustRightInd w:val="0"/>
        <w:spacing w:before="120" w:after="120" w:line="360" w:lineRule="auto"/>
        <w:jc w:val="both"/>
        <w:rPr>
          <w:rFonts w:ascii="Arial" w:hAnsi="Arial" w:cs="Arial"/>
          <w:bCs/>
          <w:color w:val="000000"/>
          <w:sz w:val="22"/>
          <w:szCs w:val="22"/>
          <w:lang w:eastAsia="es-CO"/>
        </w:rPr>
      </w:pPr>
      <w:r w:rsidRPr="0019614A">
        <w:rPr>
          <w:rFonts w:ascii="Arial" w:hAnsi="Arial" w:cs="Arial"/>
          <w:bCs/>
          <w:color w:val="000000"/>
          <w:sz w:val="22"/>
          <w:szCs w:val="22"/>
          <w:lang w:eastAsia="es-CO"/>
        </w:rPr>
        <w:t>Como parte del trabajo se realizaron pruebas de observación, indagación y comparación, así como entrevistas a los responsables del proceso, tomando como base las evaluaciones adelantadas al Proceso de Gestión de Información Financiera y Contable durante la vigencia 2019, así como la Evaluación al Control Interno Contable presentada a la Contaduría General de la Nación el 28 de febrero de 2019, se efectuó la calificación independiente, que dio como resultado, algunos numerales con puntajes diferentes a los definidos por el área contable.</w:t>
      </w:r>
    </w:p>
    <w:p w:rsidR="00275BBB" w:rsidRPr="0019614A" w:rsidRDefault="00275BBB" w:rsidP="00275BBB">
      <w:pPr>
        <w:pStyle w:val="Prrafodelista"/>
        <w:numPr>
          <w:ilvl w:val="0"/>
          <w:numId w:val="20"/>
        </w:numPr>
        <w:autoSpaceDE w:val="0"/>
        <w:autoSpaceDN w:val="0"/>
        <w:adjustRightInd w:val="0"/>
        <w:spacing w:before="120" w:after="120" w:line="360" w:lineRule="auto"/>
        <w:jc w:val="both"/>
        <w:rPr>
          <w:rFonts w:ascii="Arial" w:hAnsi="Arial" w:cs="Arial"/>
          <w:bCs/>
          <w:color w:val="000000"/>
          <w:sz w:val="22"/>
          <w:szCs w:val="22"/>
          <w:lang w:eastAsia="es-CO"/>
        </w:rPr>
      </w:pPr>
      <w:r w:rsidRPr="0019614A">
        <w:rPr>
          <w:rFonts w:ascii="Arial" w:hAnsi="Arial" w:cs="Arial"/>
          <w:bCs/>
          <w:color w:val="000000"/>
          <w:sz w:val="22"/>
          <w:szCs w:val="22"/>
          <w:lang w:eastAsia="es-CO"/>
        </w:rPr>
        <w:t xml:space="preserve">Con el fin de conciliar las diferencias y establecer la calificación definitiva, el 18 de diciembre de 2019 se realizó mesa de trabajo con la Contadora, arrojando </w:t>
      </w:r>
      <w:r w:rsidRPr="0019614A">
        <w:rPr>
          <w:rFonts w:ascii="Arial" w:hAnsi="Arial" w:cs="Arial"/>
          <w:bCs/>
          <w:sz w:val="22"/>
          <w:szCs w:val="22"/>
          <w:lang w:eastAsia="es-CO"/>
        </w:rPr>
        <w:t>una calificación de 4.68 sobre 5 (Eficiente</w:t>
      </w:r>
      <w:r w:rsidRPr="0019614A">
        <w:rPr>
          <w:rFonts w:ascii="Arial" w:hAnsi="Arial" w:cs="Arial"/>
          <w:bCs/>
          <w:color w:val="000000"/>
          <w:sz w:val="22"/>
          <w:szCs w:val="22"/>
          <w:lang w:eastAsia="es-CO"/>
        </w:rPr>
        <w:t>), resultado que mejoró respecto al reporte enviado el 28 de febrero de 2019 por medio del Sistema CHIP de la Contaduría General de la Nación.</w:t>
      </w:r>
    </w:p>
    <w:p w:rsidR="00ED40D9" w:rsidRDefault="00ED40D9" w:rsidP="00275BBB">
      <w:pPr>
        <w:autoSpaceDE w:val="0"/>
        <w:autoSpaceDN w:val="0"/>
        <w:adjustRightInd w:val="0"/>
        <w:spacing w:before="120" w:after="120" w:line="360" w:lineRule="auto"/>
        <w:jc w:val="both"/>
        <w:rPr>
          <w:rFonts w:ascii="Arial" w:eastAsia="Times New Roman" w:hAnsi="Arial" w:cs="Arial"/>
          <w:bCs/>
          <w:color w:val="000000"/>
          <w:lang w:eastAsia="es-CO"/>
        </w:rPr>
      </w:pPr>
      <w:r>
        <w:rPr>
          <w:rFonts w:ascii="Arial" w:eastAsia="Times New Roman" w:hAnsi="Arial" w:cs="Arial"/>
          <w:bCs/>
          <w:color w:val="000000"/>
          <w:lang w:eastAsia="es-CO"/>
        </w:rPr>
        <w:lastRenderedPageBreak/>
        <w:t>Al 30 de septiembre la Oficina de Control Interno se encuentra evaluando el proceso de Gestión de Servicios logísticos, que incluye la verificación de pruebas de inventarios, cuyo informe  no se ha oficializado.</w:t>
      </w:r>
    </w:p>
    <w:p w:rsidR="00275BBB" w:rsidRPr="0019614A" w:rsidRDefault="00275BBB" w:rsidP="00275BBB">
      <w:pPr>
        <w:autoSpaceDE w:val="0"/>
        <w:autoSpaceDN w:val="0"/>
        <w:adjustRightInd w:val="0"/>
        <w:spacing w:before="120" w:after="120" w:line="360" w:lineRule="auto"/>
        <w:jc w:val="both"/>
        <w:rPr>
          <w:rFonts w:ascii="Arial" w:eastAsia="Times New Roman" w:hAnsi="Arial" w:cs="Arial"/>
          <w:bCs/>
          <w:color w:val="000000"/>
          <w:lang w:eastAsia="es-CO"/>
        </w:rPr>
      </w:pPr>
      <w:r w:rsidRPr="0019614A">
        <w:rPr>
          <w:rFonts w:ascii="Arial" w:eastAsia="Times New Roman" w:hAnsi="Arial" w:cs="Arial"/>
          <w:bCs/>
          <w:color w:val="000000"/>
          <w:lang w:eastAsia="es-CO"/>
        </w:rPr>
        <w:t>Como resultado del trabajo adelantado se identificó que para quince (15) preguntas, el área contable mejoró su calificación, para dos (2) la disminuyó y para ochenta y ocho (88) se mantuvo, de las 88 en las que se mantuvo la calificación, 4 se mantuvieron parcialmente.</w:t>
      </w:r>
    </w:p>
    <w:p w:rsidR="00275BBB" w:rsidRPr="0019614A" w:rsidRDefault="00275BBB" w:rsidP="00275BBB">
      <w:pPr>
        <w:autoSpaceDE w:val="0"/>
        <w:autoSpaceDN w:val="0"/>
        <w:adjustRightInd w:val="0"/>
        <w:spacing w:before="120" w:after="120" w:line="360" w:lineRule="auto"/>
        <w:jc w:val="both"/>
        <w:rPr>
          <w:rFonts w:ascii="Arial" w:eastAsia="Times New Roman" w:hAnsi="Arial" w:cs="Arial"/>
          <w:bCs/>
          <w:color w:val="000000"/>
          <w:lang w:eastAsia="es-CO"/>
        </w:rPr>
      </w:pPr>
      <w:r w:rsidRPr="0019614A">
        <w:rPr>
          <w:rFonts w:ascii="Arial" w:eastAsia="Times New Roman" w:hAnsi="Arial" w:cs="Arial"/>
          <w:bCs/>
          <w:color w:val="000000"/>
          <w:lang w:eastAsia="es-CO"/>
        </w:rPr>
        <w:t xml:space="preserve">A continuación, presentamos un resumen con las principales fortalezas, debilidades y recomendaciones </w:t>
      </w:r>
      <w:r w:rsidR="000C3BFF">
        <w:rPr>
          <w:rFonts w:ascii="Arial" w:eastAsia="Times New Roman" w:hAnsi="Arial" w:cs="Arial"/>
          <w:bCs/>
          <w:color w:val="000000"/>
          <w:lang w:eastAsia="es-CO"/>
        </w:rPr>
        <w:t xml:space="preserve">identificadas </w:t>
      </w:r>
      <w:r w:rsidRPr="0019614A">
        <w:rPr>
          <w:rFonts w:ascii="Arial" w:eastAsia="Times New Roman" w:hAnsi="Arial" w:cs="Arial"/>
          <w:bCs/>
          <w:color w:val="000000"/>
          <w:lang w:eastAsia="es-CO"/>
        </w:rPr>
        <w:t xml:space="preserve"> por la Oficina de Control Interno</w:t>
      </w:r>
      <w:r w:rsidR="00353965">
        <w:rPr>
          <w:rFonts w:ascii="Arial" w:eastAsia="Times New Roman" w:hAnsi="Arial" w:cs="Arial"/>
          <w:bCs/>
          <w:color w:val="000000"/>
          <w:lang w:eastAsia="es-CO"/>
        </w:rPr>
        <w:t xml:space="preserve">. </w:t>
      </w:r>
    </w:p>
    <w:p w:rsidR="00275BBB" w:rsidRPr="0019614A" w:rsidRDefault="00275BBB" w:rsidP="00275BBB">
      <w:pPr>
        <w:pStyle w:val="Sinespaciado"/>
        <w:spacing w:before="240" w:after="240" w:line="360" w:lineRule="auto"/>
        <w:jc w:val="both"/>
        <w:rPr>
          <w:rFonts w:ascii="Arial" w:eastAsia="MS Mincho" w:hAnsi="Arial" w:cs="Arial"/>
          <w:b/>
          <w:sz w:val="22"/>
          <w:lang w:val="es-ES_tradnl" w:eastAsia="es-CO"/>
        </w:rPr>
      </w:pPr>
      <w:r w:rsidRPr="0019614A">
        <w:rPr>
          <w:rFonts w:ascii="Arial" w:eastAsia="MS Mincho" w:hAnsi="Arial" w:cs="Arial"/>
          <w:b/>
          <w:sz w:val="22"/>
          <w:lang w:val="es-ES_tradnl" w:eastAsia="es-CO"/>
        </w:rPr>
        <w:t>FORTALEZAS IDENTIFICADAS:</w:t>
      </w:r>
    </w:p>
    <w:p w:rsidR="00275BBB" w:rsidRPr="0019614A" w:rsidRDefault="00275BBB" w:rsidP="00275BBB">
      <w:pPr>
        <w:pStyle w:val="Prrafodelista"/>
        <w:numPr>
          <w:ilvl w:val="0"/>
          <w:numId w:val="17"/>
        </w:numPr>
        <w:autoSpaceDE w:val="0"/>
        <w:autoSpaceDN w:val="0"/>
        <w:adjustRightInd w:val="0"/>
        <w:spacing w:before="120" w:after="120" w:line="360" w:lineRule="auto"/>
        <w:contextualSpacing w:val="0"/>
        <w:jc w:val="both"/>
        <w:rPr>
          <w:rFonts w:ascii="Arial" w:hAnsi="Arial" w:cs="Arial"/>
          <w:bCs/>
          <w:color w:val="000000"/>
          <w:sz w:val="22"/>
          <w:szCs w:val="22"/>
          <w:lang w:eastAsia="es-CO"/>
        </w:rPr>
      </w:pPr>
      <w:r w:rsidRPr="0019614A">
        <w:rPr>
          <w:rFonts w:ascii="Arial" w:hAnsi="Arial" w:cs="Arial"/>
          <w:bCs/>
          <w:color w:val="000000"/>
          <w:sz w:val="22"/>
          <w:szCs w:val="22"/>
          <w:lang w:eastAsia="es-CO"/>
        </w:rPr>
        <w:t>El área de contabilidad tomó medidas frente a las recomendaciones presentadas por la Oficina de Control Interno en el memorando con radicado 2019IE1100 del 28 de febrero de 2019, relacionadas con la presentación oportuna de los Estados Financieros de la Entidad.</w:t>
      </w:r>
    </w:p>
    <w:p w:rsidR="00275BBB" w:rsidRPr="0019614A" w:rsidRDefault="00275BBB" w:rsidP="00275BBB">
      <w:pPr>
        <w:pStyle w:val="Prrafodelista"/>
        <w:numPr>
          <w:ilvl w:val="0"/>
          <w:numId w:val="17"/>
        </w:numPr>
        <w:autoSpaceDE w:val="0"/>
        <w:autoSpaceDN w:val="0"/>
        <w:adjustRightInd w:val="0"/>
        <w:spacing w:before="120" w:after="120" w:line="360" w:lineRule="auto"/>
        <w:contextualSpacing w:val="0"/>
        <w:jc w:val="both"/>
        <w:rPr>
          <w:rFonts w:ascii="Arial" w:hAnsi="Arial" w:cs="Arial"/>
          <w:bCs/>
          <w:color w:val="000000"/>
          <w:sz w:val="22"/>
          <w:szCs w:val="22"/>
          <w:lang w:eastAsia="es-CO"/>
        </w:rPr>
      </w:pPr>
      <w:r w:rsidRPr="0019614A">
        <w:rPr>
          <w:rFonts w:ascii="Arial" w:hAnsi="Arial" w:cs="Arial"/>
          <w:bCs/>
          <w:color w:val="000000"/>
          <w:sz w:val="22"/>
          <w:szCs w:val="22"/>
          <w:lang w:eastAsia="es-CO"/>
        </w:rPr>
        <w:t>El área de contabilidad, como consolidadora de la información contable, tiene establecido como mecanismo de verificación un cronograma de cierre, en el cual se tiene identificadas las actividades y los responsables de remitir, conciliar, revisar y elaborar, los diferentes documentos, junto con los análisis necesarios para llevar a cabo la incorporación de la información en el proceso contable.</w:t>
      </w:r>
    </w:p>
    <w:p w:rsidR="00275BBB" w:rsidRPr="0019614A" w:rsidRDefault="00275BBB" w:rsidP="00275BBB">
      <w:pPr>
        <w:pStyle w:val="Prrafodelista"/>
        <w:numPr>
          <w:ilvl w:val="0"/>
          <w:numId w:val="17"/>
        </w:numPr>
        <w:autoSpaceDE w:val="0"/>
        <w:autoSpaceDN w:val="0"/>
        <w:adjustRightInd w:val="0"/>
        <w:spacing w:before="120" w:after="120" w:line="360" w:lineRule="auto"/>
        <w:contextualSpacing w:val="0"/>
        <w:jc w:val="both"/>
        <w:rPr>
          <w:rFonts w:ascii="Arial" w:hAnsi="Arial" w:cs="Arial"/>
          <w:bCs/>
          <w:color w:val="000000"/>
          <w:sz w:val="22"/>
          <w:szCs w:val="22"/>
          <w:lang w:eastAsia="es-CO"/>
        </w:rPr>
      </w:pPr>
      <w:r w:rsidRPr="0019614A">
        <w:rPr>
          <w:rFonts w:ascii="Arial" w:hAnsi="Arial" w:cs="Arial"/>
          <w:bCs/>
          <w:color w:val="000000"/>
          <w:sz w:val="22"/>
          <w:szCs w:val="22"/>
          <w:lang w:eastAsia="es-CO"/>
        </w:rPr>
        <w:t>A partir de marzo de 2019, se encuentran publicadas las operaciones recíprocas, así como los procesos y conciliaciones activos de Defensa Judicial para el acceso a la ciudadanía mediante la página web de la Entidad.</w:t>
      </w:r>
    </w:p>
    <w:p w:rsidR="00275BBB" w:rsidRPr="0019614A" w:rsidRDefault="00275BBB" w:rsidP="00275BBB">
      <w:pPr>
        <w:pStyle w:val="Prrafodelista"/>
        <w:numPr>
          <w:ilvl w:val="0"/>
          <w:numId w:val="17"/>
        </w:numPr>
        <w:autoSpaceDE w:val="0"/>
        <w:autoSpaceDN w:val="0"/>
        <w:adjustRightInd w:val="0"/>
        <w:spacing w:before="120" w:after="120" w:line="360" w:lineRule="auto"/>
        <w:contextualSpacing w:val="0"/>
        <w:jc w:val="both"/>
        <w:rPr>
          <w:rFonts w:ascii="Arial" w:hAnsi="Arial" w:cs="Arial"/>
          <w:bCs/>
          <w:color w:val="000000"/>
          <w:sz w:val="22"/>
          <w:szCs w:val="22"/>
          <w:lang w:eastAsia="es-CO"/>
        </w:rPr>
      </w:pPr>
      <w:r w:rsidRPr="0019614A">
        <w:rPr>
          <w:rFonts w:ascii="Arial" w:hAnsi="Arial" w:cs="Arial"/>
          <w:bCs/>
          <w:color w:val="000000"/>
          <w:sz w:val="22"/>
          <w:szCs w:val="22"/>
          <w:lang w:eastAsia="es-CO"/>
        </w:rPr>
        <w:t xml:space="preserve">Fueron implementados controles automáticos en el sistema de información contable JSP7 para la </w:t>
      </w:r>
      <w:r w:rsidRPr="00353965">
        <w:rPr>
          <w:rFonts w:ascii="Arial" w:hAnsi="Arial" w:cs="Arial"/>
          <w:bCs/>
          <w:color w:val="000000"/>
          <w:sz w:val="22"/>
          <w:szCs w:val="22"/>
          <w:lang w:eastAsia="es-CO"/>
        </w:rPr>
        <w:t>causación</w:t>
      </w:r>
      <w:r w:rsidRPr="0019614A">
        <w:rPr>
          <w:rFonts w:ascii="Arial" w:hAnsi="Arial" w:cs="Arial"/>
          <w:bCs/>
          <w:color w:val="000000"/>
          <w:sz w:val="22"/>
          <w:szCs w:val="22"/>
          <w:lang w:eastAsia="es-CO"/>
        </w:rPr>
        <w:t xml:space="preserve"> de los Contratos PSP, lo que mitiga</w:t>
      </w:r>
      <w:r w:rsidR="00353965">
        <w:rPr>
          <w:rFonts w:ascii="Arial" w:hAnsi="Arial" w:cs="Arial"/>
          <w:bCs/>
          <w:color w:val="000000"/>
          <w:sz w:val="22"/>
          <w:szCs w:val="22"/>
          <w:lang w:eastAsia="es-CO"/>
        </w:rPr>
        <w:t xml:space="preserve"> el riesgo de </w:t>
      </w:r>
      <w:r w:rsidRPr="0019614A">
        <w:rPr>
          <w:rFonts w:ascii="Arial" w:hAnsi="Arial" w:cs="Arial"/>
          <w:bCs/>
          <w:color w:val="000000"/>
          <w:sz w:val="22"/>
          <w:szCs w:val="22"/>
          <w:lang w:eastAsia="es-CO"/>
        </w:rPr>
        <w:t>pérdida de la información</w:t>
      </w:r>
      <w:r w:rsidR="00353965">
        <w:rPr>
          <w:rFonts w:ascii="Arial" w:hAnsi="Arial" w:cs="Arial"/>
          <w:bCs/>
          <w:color w:val="000000"/>
          <w:sz w:val="22"/>
          <w:szCs w:val="22"/>
          <w:lang w:eastAsia="es-CO"/>
        </w:rPr>
        <w:t xml:space="preserve"> y el </w:t>
      </w:r>
      <w:r w:rsidRPr="0019614A">
        <w:rPr>
          <w:rFonts w:ascii="Arial" w:hAnsi="Arial" w:cs="Arial"/>
          <w:bCs/>
          <w:color w:val="000000"/>
          <w:sz w:val="22"/>
          <w:szCs w:val="22"/>
          <w:lang w:eastAsia="es-CO"/>
        </w:rPr>
        <w:t xml:space="preserve"> fortalecimiento de los controles en la gestión.</w:t>
      </w:r>
    </w:p>
    <w:p w:rsidR="00275BBB" w:rsidRPr="0019614A" w:rsidRDefault="00275BBB" w:rsidP="00275BBB">
      <w:pPr>
        <w:rPr>
          <w:rFonts w:ascii="Arial" w:eastAsia="Times New Roman" w:hAnsi="Arial" w:cs="Arial"/>
          <w:bCs/>
          <w:color w:val="000000"/>
          <w:lang w:eastAsia="es-CO"/>
        </w:rPr>
      </w:pPr>
      <w:r w:rsidRPr="0019614A">
        <w:rPr>
          <w:rFonts w:ascii="Arial" w:hAnsi="Arial" w:cs="Arial"/>
          <w:bCs/>
          <w:color w:val="000000"/>
          <w:lang w:eastAsia="es-CO"/>
        </w:rPr>
        <w:br w:type="page"/>
      </w:r>
    </w:p>
    <w:p w:rsidR="00275BBB" w:rsidRPr="0019614A" w:rsidRDefault="00275BBB" w:rsidP="00275BBB">
      <w:pPr>
        <w:pStyle w:val="Sinespaciado"/>
        <w:spacing w:before="240" w:after="240" w:line="360" w:lineRule="auto"/>
        <w:jc w:val="both"/>
        <w:rPr>
          <w:rFonts w:ascii="Arial" w:eastAsia="MS Mincho" w:hAnsi="Arial" w:cs="Arial"/>
          <w:b/>
          <w:sz w:val="22"/>
          <w:lang w:val="es-ES_tradnl" w:eastAsia="es-CO"/>
        </w:rPr>
      </w:pPr>
      <w:r w:rsidRPr="0019614A">
        <w:rPr>
          <w:rFonts w:ascii="Arial" w:eastAsia="MS Mincho" w:hAnsi="Arial" w:cs="Arial"/>
          <w:b/>
          <w:sz w:val="22"/>
          <w:lang w:val="es-ES_tradnl" w:eastAsia="es-CO"/>
        </w:rPr>
        <w:lastRenderedPageBreak/>
        <w:t>DEBILIDADES:</w:t>
      </w:r>
    </w:p>
    <w:p w:rsidR="00275BBB" w:rsidRPr="0019614A" w:rsidRDefault="00275BBB" w:rsidP="00275BBB">
      <w:pPr>
        <w:pStyle w:val="Prrafodelista"/>
        <w:numPr>
          <w:ilvl w:val="0"/>
          <w:numId w:val="18"/>
        </w:numPr>
        <w:autoSpaceDE w:val="0"/>
        <w:autoSpaceDN w:val="0"/>
        <w:adjustRightInd w:val="0"/>
        <w:spacing w:before="120" w:after="120" w:line="360" w:lineRule="auto"/>
        <w:contextualSpacing w:val="0"/>
        <w:jc w:val="both"/>
        <w:rPr>
          <w:rFonts w:ascii="Arial" w:hAnsi="Arial" w:cs="Arial"/>
          <w:bCs/>
          <w:color w:val="000000"/>
          <w:sz w:val="22"/>
          <w:szCs w:val="22"/>
          <w:lang w:eastAsia="es-CO"/>
        </w:rPr>
      </w:pPr>
      <w:r w:rsidRPr="0019614A">
        <w:rPr>
          <w:rFonts w:ascii="Arial" w:hAnsi="Arial" w:cs="Arial"/>
          <w:bCs/>
          <w:color w:val="000000"/>
          <w:sz w:val="22"/>
          <w:szCs w:val="22"/>
          <w:lang w:eastAsia="es-CO"/>
        </w:rPr>
        <w:t xml:space="preserve">Para </w:t>
      </w:r>
      <w:r w:rsidR="00353965">
        <w:rPr>
          <w:rFonts w:ascii="Arial" w:hAnsi="Arial" w:cs="Arial"/>
          <w:bCs/>
          <w:color w:val="000000"/>
          <w:sz w:val="22"/>
          <w:szCs w:val="22"/>
          <w:lang w:eastAsia="es-CO"/>
        </w:rPr>
        <w:t xml:space="preserve">cinco </w:t>
      </w:r>
      <w:r w:rsidRPr="0019614A">
        <w:rPr>
          <w:rFonts w:ascii="Arial" w:hAnsi="Arial" w:cs="Arial"/>
          <w:bCs/>
          <w:color w:val="000000"/>
          <w:sz w:val="22"/>
          <w:szCs w:val="22"/>
          <w:lang w:eastAsia="es-CO"/>
        </w:rPr>
        <w:t>(</w:t>
      </w:r>
      <w:r w:rsidR="00353965">
        <w:rPr>
          <w:rFonts w:ascii="Arial" w:hAnsi="Arial" w:cs="Arial"/>
          <w:bCs/>
          <w:color w:val="000000"/>
          <w:sz w:val="22"/>
          <w:szCs w:val="22"/>
          <w:lang w:eastAsia="es-CO"/>
        </w:rPr>
        <w:t>5</w:t>
      </w:r>
      <w:r w:rsidRPr="0019614A">
        <w:rPr>
          <w:rFonts w:ascii="Arial" w:hAnsi="Arial" w:cs="Arial"/>
          <w:bCs/>
          <w:color w:val="000000"/>
          <w:sz w:val="22"/>
          <w:szCs w:val="22"/>
          <w:lang w:eastAsia="es-CO"/>
        </w:rPr>
        <w:t xml:space="preserve">) riesgos del mapa de riesgos de gestión del Proceso de Gestión de Información Financiera y Contable, después de aplicados los controles, si bien se desplazaron de cuadrante debido a que se disminuyó el impacto, </w:t>
      </w:r>
      <w:r w:rsidR="00353965">
        <w:rPr>
          <w:rFonts w:ascii="Arial" w:hAnsi="Arial" w:cs="Arial"/>
          <w:bCs/>
          <w:color w:val="000000"/>
          <w:sz w:val="22"/>
          <w:szCs w:val="22"/>
          <w:lang w:eastAsia="es-CO"/>
        </w:rPr>
        <w:t xml:space="preserve">tres  (3) se desplazaron de cuadrante y  </w:t>
      </w:r>
      <w:r w:rsidRPr="0019614A">
        <w:rPr>
          <w:rFonts w:ascii="Arial" w:hAnsi="Arial" w:cs="Arial"/>
          <w:bCs/>
          <w:color w:val="000000"/>
          <w:sz w:val="22"/>
          <w:szCs w:val="22"/>
          <w:lang w:eastAsia="es-CO"/>
        </w:rPr>
        <w:t>continuaron en un perfil de riesgo bajo</w:t>
      </w:r>
      <w:r w:rsidR="00353965">
        <w:rPr>
          <w:rFonts w:ascii="Arial" w:hAnsi="Arial" w:cs="Arial"/>
          <w:bCs/>
          <w:color w:val="000000"/>
          <w:sz w:val="22"/>
          <w:szCs w:val="22"/>
          <w:lang w:eastAsia="es-CO"/>
        </w:rPr>
        <w:t xml:space="preserve"> y dos  se mantienen en  riesgo moderado</w:t>
      </w:r>
      <w:r w:rsidRPr="0019614A">
        <w:rPr>
          <w:rFonts w:ascii="Arial" w:hAnsi="Arial" w:cs="Arial"/>
          <w:bCs/>
          <w:color w:val="000000"/>
          <w:sz w:val="22"/>
          <w:szCs w:val="22"/>
          <w:lang w:eastAsia="es-CO"/>
        </w:rPr>
        <w:t>.</w:t>
      </w:r>
    </w:p>
    <w:p w:rsidR="00275BBB" w:rsidRPr="0019614A" w:rsidRDefault="00275BBB" w:rsidP="00275BBB">
      <w:pPr>
        <w:pStyle w:val="Prrafodelista"/>
        <w:numPr>
          <w:ilvl w:val="0"/>
          <w:numId w:val="18"/>
        </w:numPr>
        <w:autoSpaceDE w:val="0"/>
        <w:autoSpaceDN w:val="0"/>
        <w:adjustRightInd w:val="0"/>
        <w:spacing w:before="120" w:after="120" w:line="360" w:lineRule="auto"/>
        <w:contextualSpacing w:val="0"/>
        <w:jc w:val="both"/>
        <w:rPr>
          <w:rFonts w:ascii="Arial" w:hAnsi="Arial" w:cs="Arial"/>
          <w:bCs/>
          <w:color w:val="000000"/>
          <w:sz w:val="22"/>
          <w:szCs w:val="22"/>
          <w:lang w:eastAsia="es-CO"/>
        </w:rPr>
      </w:pPr>
      <w:r w:rsidRPr="0019614A">
        <w:rPr>
          <w:rFonts w:ascii="Arial" w:hAnsi="Arial" w:cs="Arial"/>
          <w:bCs/>
          <w:color w:val="000000"/>
          <w:sz w:val="22"/>
          <w:szCs w:val="22"/>
          <w:lang w:eastAsia="es-CO"/>
        </w:rPr>
        <w:t>Evaluar la incorporación de lineamientos en el Manual de Inventarios M-DA-002 de la Entidad, que conlleven a establecer que el levantamiento físico anual de inventarios se realice antes de la aprobación de los Estados Financieros en la Asamblea de Accionistas, debido a que dicha situación afecta la oportunidad de la información y con ello el registro contable de los ajustes que se puedan derivar de esta actividad. Situación que es reiterativa.</w:t>
      </w:r>
    </w:p>
    <w:p w:rsidR="00275BBB" w:rsidRPr="0019614A" w:rsidRDefault="00275BBB" w:rsidP="00275BBB">
      <w:pPr>
        <w:pStyle w:val="Prrafodelista"/>
        <w:autoSpaceDE w:val="0"/>
        <w:autoSpaceDN w:val="0"/>
        <w:adjustRightInd w:val="0"/>
        <w:spacing w:before="120" w:after="120" w:line="360" w:lineRule="auto"/>
        <w:ind w:left="360"/>
        <w:contextualSpacing w:val="0"/>
        <w:jc w:val="both"/>
        <w:rPr>
          <w:rFonts w:ascii="Arial" w:hAnsi="Arial" w:cs="Arial"/>
          <w:bCs/>
          <w:color w:val="000000"/>
          <w:sz w:val="22"/>
          <w:szCs w:val="22"/>
          <w:lang w:eastAsia="es-CO"/>
        </w:rPr>
      </w:pPr>
      <w:r w:rsidRPr="0019614A">
        <w:rPr>
          <w:rFonts w:ascii="Arial" w:hAnsi="Arial" w:cs="Arial"/>
          <w:bCs/>
          <w:color w:val="000000"/>
          <w:sz w:val="22"/>
          <w:szCs w:val="22"/>
          <w:lang w:eastAsia="es-CO"/>
        </w:rPr>
        <w:t>Adicionalmente el Manual de Inventarios de la Entidad se encuentra desactualizado, toda vez que la Resolución 001 de 2001 por la cual se expide el Manual de Procedimientos Administrativos y Contables para el Manejo y Control de los Bienes en los Entes Públicos del Distrito Capital fue derogada por la Resolución No. DDC-000001 del 30 de septiembre de 2019, que si bien fue expedida para las Entidades de Gobiernos Distritales y teniendo en cuenta que TRANSMILENIO S.A., no pertenece a dicho sector</w:t>
      </w:r>
      <w:r w:rsidR="00353965">
        <w:rPr>
          <w:rFonts w:ascii="Arial" w:hAnsi="Arial" w:cs="Arial"/>
          <w:bCs/>
          <w:color w:val="000000"/>
          <w:sz w:val="22"/>
          <w:szCs w:val="22"/>
          <w:lang w:eastAsia="es-CO"/>
        </w:rPr>
        <w:t>, deberá ser evaluada su aplicación.</w:t>
      </w:r>
    </w:p>
    <w:p w:rsidR="00275BBB" w:rsidRPr="0019614A" w:rsidRDefault="00275BBB" w:rsidP="00275BBB">
      <w:pPr>
        <w:pStyle w:val="Sinespaciado"/>
        <w:spacing w:before="240" w:after="240" w:line="360" w:lineRule="auto"/>
        <w:jc w:val="both"/>
        <w:rPr>
          <w:rFonts w:ascii="Arial" w:eastAsia="MS Mincho" w:hAnsi="Arial" w:cs="Arial"/>
          <w:b/>
          <w:sz w:val="22"/>
          <w:lang w:val="es-ES_tradnl" w:eastAsia="es-CO"/>
        </w:rPr>
      </w:pPr>
      <w:r w:rsidRPr="0019614A">
        <w:rPr>
          <w:rFonts w:ascii="Arial" w:eastAsia="MS Mincho" w:hAnsi="Arial" w:cs="Arial"/>
          <w:b/>
          <w:sz w:val="22"/>
          <w:lang w:val="es-ES_tradnl" w:eastAsia="es-CO"/>
        </w:rPr>
        <w:t>RECOMENDACIONES DE LA OFICINA DE CONTROL INTERNO:</w:t>
      </w:r>
    </w:p>
    <w:p w:rsidR="00CA1813" w:rsidRPr="0019614A" w:rsidRDefault="00CA1813" w:rsidP="00CA1813">
      <w:pPr>
        <w:pStyle w:val="Prrafodelista"/>
        <w:numPr>
          <w:ilvl w:val="0"/>
          <w:numId w:val="19"/>
        </w:numPr>
        <w:autoSpaceDE w:val="0"/>
        <w:autoSpaceDN w:val="0"/>
        <w:adjustRightInd w:val="0"/>
        <w:spacing w:before="360" w:after="120" w:line="360" w:lineRule="auto"/>
        <w:ind w:left="357" w:hanging="357"/>
        <w:contextualSpacing w:val="0"/>
        <w:jc w:val="both"/>
        <w:rPr>
          <w:rFonts w:ascii="Arial" w:hAnsi="Arial" w:cs="Arial"/>
          <w:bCs/>
          <w:color w:val="000000"/>
          <w:sz w:val="22"/>
          <w:szCs w:val="22"/>
          <w:lang w:eastAsia="es-CO"/>
        </w:rPr>
      </w:pPr>
      <w:r w:rsidRPr="0019614A">
        <w:rPr>
          <w:rFonts w:ascii="Arial" w:hAnsi="Arial" w:cs="Arial"/>
          <w:bCs/>
          <w:color w:val="000000"/>
          <w:sz w:val="22"/>
          <w:szCs w:val="22"/>
          <w:lang w:eastAsia="es-CO"/>
        </w:rPr>
        <w:t>Revisar, analizar y ajustar de ser necesario, los controles registrados en el Mapa de Riesgos del Proceso de Gestión de Información Financiera y Contable asociados al área de contabilidad, presupuesto y tesorería, toda vez que los mismos no desplazan los riesgos en el cuadrante del mapa térmico, para dos (2) riesgos considerándose los mismos inefectivos.</w:t>
      </w:r>
    </w:p>
    <w:p w:rsidR="00F60FC1" w:rsidRPr="0019614A" w:rsidRDefault="00353965" w:rsidP="00F60FC1">
      <w:pPr>
        <w:pStyle w:val="Prrafodelista"/>
        <w:numPr>
          <w:ilvl w:val="0"/>
          <w:numId w:val="19"/>
        </w:numPr>
        <w:autoSpaceDE w:val="0"/>
        <w:autoSpaceDN w:val="0"/>
        <w:adjustRightInd w:val="0"/>
        <w:spacing w:before="120" w:after="120" w:line="360" w:lineRule="auto"/>
        <w:jc w:val="both"/>
        <w:rPr>
          <w:rFonts w:ascii="Arial" w:hAnsi="Arial" w:cs="Arial"/>
          <w:bCs/>
          <w:color w:val="000000"/>
          <w:sz w:val="22"/>
          <w:szCs w:val="22"/>
          <w:lang w:eastAsia="es-CO"/>
        </w:rPr>
      </w:pPr>
      <w:r>
        <w:rPr>
          <w:rFonts w:ascii="Arial" w:hAnsi="Arial" w:cs="Arial"/>
          <w:bCs/>
          <w:color w:val="000000"/>
          <w:sz w:val="22"/>
          <w:szCs w:val="22"/>
          <w:lang w:eastAsia="es-CO"/>
        </w:rPr>
        <w:t xml:space="preserve">Evaluar la actualización </w:t>
      </w:r>
      <w:r w:rsidR="00F60FC1" w:rsidRPr="0019614A">
        <w:rPr>
          <w:rFonts w:ascii="Arial" w:hAnsi="Arial" w:cs="Arial"/>
          <w:bCs/>
          <w:color w:val="000000"/>
          <w:sz w:val="22"/>
          <w:szCs w:val="22"/>
          <w:lang w:eastAsia="es-CO"/>
        </w:rPr>
        <w:t xml:space="preserve">del Manual de Inventarios con código M-DA-002, versión 0 de 2014 atendiendo los lineamientos establecidos en la Resolución No. DDC-000001 del 30 de septiembre de 2019 </w:t>
      </w:r>
      <w:r w:rsidR="00F60FC1" w:rsidRPr="0019614A">
        <w:rPr>
          <w:rFonts w:ascii="Arial" w:hAnsi="Arial" w:cs="Arial"/>
          <w:bCs/>
          <w:i/>
          <w:color w:val="000000"/>
          <w:sz w:val="22"/>
          <w:szCs w:val="22"/>
          <w:lang w:eastAsia="es-CO"/>
        </w:rPr>
        <w:t xml:space="preserve">“Por la cual se expide el Manual de Procedimientos </w:t>
      </w:r>
      <w:r w:rsidR="00F60FC1" w:rsidRPr="0019614A">
        <w:rPr>
          <w:rFonts w:ascii="Arial" w:hAnsi="Arial" w:cs="Arial"/>
          <w:bCs/>
          <w:i/>
          <w:color w:val="000000"/>
          <w:sz w:val="22"/>
          <w:szCs w:val="22"/>
          <w:lang w:eastAsia="es-CO"/>
        </w:rPr>
        <w:lastRenderedPageBreak/>
        <w:t>Administrativos y Contables para el manejo y control de los bienes en las Entidades de Gobierno Distritales”</w:t>
      </w:r>
      <w:r w:rsidR="00F60FC1" w:rsidRPr="0019614A">
        <w:rPr>
          <w:rFonts w:ascii="Arial" w:hAnsi="Arial" w:cs="Arial"/>
          <w:bCs/>
          <w:color w:val="000000"/>
          <w:sz w:val="22"/>
          <w:szCs w:val="22"/>
          <w:lang w:eastAsia="es-CO"/>
        </w:rPr>
        <w:t>.</w:t>
      </w:r>
    </w:p>
    <w:p w:rsidR="00275BBB" w:rsidRPr="0019614A" w:rsidRDefault="00275BBB" w:rsidP="009746B5">
      <w:pPr>
        <w:pStyle w:val="Prrafodelista"/>
        <w:numPr>
          <w:ilvl w:val="0"/>
          <w:numId w:val="19"/>
        </w:numPr>
        <w:autoSpaceDE w:val="0"/>
        <w:autoSpaceDN w:val="0"/>
        <w:adjustRightInd w:val="0"/>
        <w:spacing w:before="120" w:after="120" w:line="360" w:lineRule="auto"/>
        <w:ind w:left="357" w:hanging="357"/>
        <w:jc w:val="both"/>
        <w:rPr>
          <w:rFonts w:ascii="Arial" w:hAnsi="Arial" w:cs="Arial"/>
          <w:bCs/>
          <w:color w:val="000000"/>
          <w:sz w:val="22"/>
          <w:szCs w:val="22"/>
          <w:lang w:eastAsia="es-CO"/>
        </w:rPr>
      </w:pPr>
      <w:r w:rsidRPr="0019614A">
        <w:rPr>
          <w:rFonts w:ascii="Arial" w:hAnsi="Arial" w:cs="Arial"/>
          <w:bCs/>
          <w:color w:val="000000"/>
          <w:sz w:val="22"/>
          <w:szCs w:val="22"/>
          <w:lang w:eastAsia="es-CO"/>
        </w:rPr>
        <w:t>Gestionar la realización oportuna de las verificaciones físicas anuales de inventarios y activos fijos, con el objetivo que los ajustes y/o registros contables derivados de esta actividad sean efectuados dentro del período correspondiente</w:t>
      </w:r>
      <w:r w:rsidR="008605E9">
        <w:rPr>
          <w:rFonts w:ascii="Arial" w:hAnsi="Arial" w:cs="Arial"/>
          <w:bCs/>
          <w:color w:val="000000"/>
          <w:sz w:val="22"/>
          <w:szCs w:val="22"/>
          <w:lang w:eastAsia="es-CO"/>
        </w:rPr>
        <w:t xml:space="preserve"> y antes de la aprobación de los estados financieros</w:t>
      </w:r>
      <w:r w:rsidRPr="0019614A">
        <w:rPr>
          <w:rFonts w:ascii="Arial" w:hAnsi="Arial" w:cs="Arial"/>
          <w:bCs/>
          <w:color w:val="000000"/>
          <w:sz w:val="22"/>
          <w:szCs w:val="22"/>
          <w:lang w:eastAsia="es-CO"/>
        </w:rPr>
        <w:t>. Es necesario aclarar que esta recomendación es reincidente y ha sido comunicada en diferentes oportunidades a la Administración de la Entidad, sin que se hayan evidenciado acciones correctivas para eliminar la causa raíz de la mencionada situación.</w:t>
      </w:r>
    </w:p>
    <w:p w:rsidR="001B47E4" w:rsidRPr="0019614A" w:rsidRDefault="001B47E4" w:rsidP="009746B5">
      <w:pPr>
        <w:spacing w:before="240" w:after="0" w:line="360" w:lineRule="auto"/>
        <w:jc w:val="both"/>
        <w:rPr>
          <w:rFonts w:ascii="Arial" w:eastAsia="MS Mincho" w:hAnsi="Arial" w:cs="Arial"/>
          <w:lang w:eastAsia="es-CO"/>
        </w:rPr>
      </w:pPr>
      <w:r w:rsidRPr="0019614A">
        <w:rPr>
          <w:rFonts w:ascii="Arial" w:eastAsia="MS Mincho" w:hAnsi="Arial" w:cs="Arial"/>
          <w:lang w:eastAsia="es-CO"/>
        </w:rPr>
        <w:t>Cualquier información adicional con gusto será suministrada.</w:t>
      </w:r>
    </w:p>
    <w:p w:rsidR="00D94E54" w:rsidRPr="0019614A" w:rsidRDefault="00D94E54" w:rsidP="000D05CF">
      <w:pPr>
        <w:spacing w:before="120" w:after="360" w:line="360" w:lineRule="auto"/>
        <w:jc w:val="both"/>
        <w:rPr>
          <w:rFonts w:ascii="Arial" w:eastAsia="MS Mincho" w:hAnsi="Arial" w:cs="Arial"/>
          <w:lang w:eastAsia="es-CO"/>
        </w:rPr>
      </w:pPr>
    </w:p>
    <w:p w:rsidR="00276FD8" w:rsidRPr="0019614A" w:rsidRDefault="00276FD8" w:rsidP="00443A1C">
      <w:pPr>
        <w:spacing w:before="120" w:after="120" w:line="360" w:lineRule="auto"/>
        <w:jc w:val="both"/>
        <w:rPr>
          <w:rFonts w:ascii="Arial" w:eastAsia="MS Mincho" w:hAnsi="Arial" w:cs="Arial"/>
          <w:lang w:eastAsia="es-CO"/>
        </w:rPr>
      </w:pPr>
      <w:r w:rsidRPr="0019614A">
        <w:rPr>
          <w:rFonts w:ascii="Arial" w:eastAsia="MS Mincho" w:hAnsi="Arial" w:cs="Arial"/>
          <w:lang w:eastAsia="es-CO"/>
        </w:rPr>
        <w:t xml:space="preserve">Cordialmente, </w:t>
      </w:r>
    </w:p>
    <w:p w:rsidR="00771D21" w:rsidRPr="0019614A" w:rsidRDefault="00771D21" w:rsidP="00443A1C">
      <w:pPr>
        <w:spacing w:before="120" w:after="120" w:line="360" w:lineRule="auto"/>
        <w:jc w:val="both"/>
        <w:rPr>
          <w:rFonts w:ascii="Arial" w:eastAsia="MS Mincho" w:hAnsi="Arial" w:cs="Arial"/>
          <w:lang w:eastAsia="es-CO"/>
        </w:rPr>
      </w:pPr>
    </w:p>
    <w:p w:rsidR="00771D21" w:rsidRPr="0019614A" w:rsidRDefault="00771D21" w:rsidP="00443A1C">
      <w:pPr>
        <w:spacing w:before="120" w:after="120" w:line="360" w:lineRule="auto"/>
        <w:jc w:val="both"/>
        <w:rPr>
          <w:rFonts w:ascii="Arial" w:eastAsia="MS Mincho" w:hAnsi="Arial" w:cs="Arial"/>
          <w:lang w:eastAsia="es-CO"/>
        </w:rPr>
      </w:pPr>
    </w:p>
    <w:p w:rsidR="00771D21" w:rsidRPr="0019614A" w:rsidRDefault="00771D21" w:rsidP="00443A1C">
      <w:pPr>
        <w:spacing w:before="120" w:after="120" w:line="360" w:lineRule="auto"/>
        <w:contextualSpacing/>
        <w:jc w:val="both"/>
        <w:rPr>
          <w:rFonts w:ascii="Arial" w:eastAsia="MS Mincho" w:hAnsi="Arial" w:cs="Arial"/>
          <w:b/>
          <w:lang w:eastAsia="es-CO"/>
        </w:rPr>
      </w:pPr>
      <w:r w:rsidRPr="0019614A">
        <w:rPr>
          <w:rFonts w:ascii="Arial" w:eastAsia="MS Mincho" w:hAnsi="Arial" w:cs="Arial"/>
          <w:b/>
          <w:lang w:eastAsia="es-CO"/>
        </w:rPr>
        <w:t xml:space="preserve">LUIS ANTONIO RODRÍGUEZ OROZCO </w:t>
      </w:r>
    </w:p>
    <w:p w:rsidR="00771D21" w:rsidRPr="0019614A" w:rsidRDefault="00771D21" w:rsidP="00443A1C">
      <w:pPr>
        <w:spacing w:before="120" w:after="120" w:line="360" w:lineRule="auto"/>
        <w:contextualSpacing/>
        <w:jc w:val="both"/>
        <w:rPr>
          <w:rFonts w:ascii="Arial" w:eastAsia="MS Mincho" w:hAnsi="Arial" w:cs="Arial"/>
          <w:lang w:eastAsia="es-CO"/>
        </w:rPr>
      </w:pPr>
      <w:r w:rsidRPr="0019614A">
        <w:rPr>
          <w:rFonts w:ascii="Arial" w:eastAsia="MS Mincho" w:hAnsi="Arial" w:cs="Arial"/>
          <w:lang w:eastAsia="es-CO"/>
        </w:rPr>
        <w:t>Jefe Oficina de Control Interno</w:t>
      </w:r>
    </w:p>
    <w:p w:rsidR="00C94BFC" w:rsidRPr="0019614A" w:rsidRDefault="00C94BFC" w:rsidP="00443A1C">
      <w:pPr>
        <w:spacing w:before="120" w:after="120" w:line="360" w:lineRule="auto"/>
        <w:jc w:val="both"/>
        <w:rPr>
          <w:rFonts w:ascii="Arial" w:eastAsia="MS Mincho" w:hAnsi="Arial" w:cs="Arial"/>
          <w:lang w:eastAsia="es-CO"/>
        </w:rPr>
      </w:pPr>
    </w:p>
    <w:p w:rsidR="005A3B16" w:rsidRPr="005A3B16" w:rsidRDefault="00275BBB" w:rsidP="005A3B16">
      <w:pPr>
        <w:autoSpaceDE w:val="0"/>
        <w:autoSpaceDN w:val="0"/>
        <w:adjustRightInd w:val="0"/>
        <w:spacing w:after="0" w:line="240" w:lineRule="auto"/>
        <w:contextualSpacing/>
        <w:rPr>
          <w:rFonts w:ascii="Arial" w:eastAsia="MS Mincho" w:hAnsi="Arial" w:cs="Arial"/>
          <w:iCs/>
          <w:sz w:val="16"/>
          <w:szCs w:val="16"/>
          <w:lang w:eastAsia="es-CO"/>
        </w:rPr>
      </w:pPr>
      <w:r w:rsidRPr="005A3B16">
        <w:rPr>
          <w:rFonts w:ascii="Arial" w:eastAsia="MS Mincho" w:hAnsi="Arial" w:cs="Arial"/>
          <w:b/>
          <w:iCs/>
          <w:sz w:val="16"/>
          <w:szCs w:val="16"/>
          <w:lang w:eastAsia="es-CO"/>
        </w:rPr>
        <w:t>Equipo Auditor:</w:t>
      </w:r>
      <w:r w:rsidRPr="005A3B16">
        <w:rPr>
          <w:rFonts w:ascii="Arial" w:eastAsia="MS Mincho" w:hAnsi="Arial" w:cs="Arial"/>
          <w:iCs/>
          <w:sz w:val="16"/>
          <w:szCs w:val="16"/>
          <w:lang w:eastAsia="es-CO"/>
        </w:rPr>
        <w:t xml:space="preserve"> Lina María Amaya Sánchez, Contratista de Apoyo a la Gestión</w:t>
      </w:r>
    </w:p>
    <w:p w:rsidR="00275BBB" w:rsidRPr="005A3B16" w:rsidRDefault="00275BBB" w:rsidP="001736A2">
      <w:pPr>
        <w:spacing w:after="0" w:line="240" w:lineRule="auto"/>
        <w:contextualSpacing/>
        <w:jc w:val="both"/>
        <w:rPr>
          <w:rFonts w:ascii="Arial" w:eastAsia="ZTR1C.tmp" w:hAnsi="Arial" w:cs="Arial"/>
          <w:sz w:val="16"/>
          <w:szCs w:val="16"/>
          <w:lang w:val="es-ES" w:eastAsia="es-ES"/>
        </w:rPr>
      </w:pPr>
    </w:p>
    <w:sectPr w:rsidR="00275BBB" w:rsidRPr="005A3B16" w:rsidSect="009B38B0">
      <w:headerReference w:type="default" r:id="rId7"/>
      <w:footerReference w:type="default" r:id="rId8"/>
      <w:pgSz w:w="12240" w:h="15840"/>
      <w:pgMar w:top="1929" w:right="1701" w:bottom="1873" w:left="1701" w:header="0" w:footer="2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3EB" w:rsidRDefault="00E233EB">
      <w:pPr>
        <w:spacing w:after="0" w:line="240" w:lineRule="auto"/>
      </w:pPr>
      <w:r>
        <w:separator/>
      </w:r>
    </w:p>
  </w:endnote>
  <w:endnote w:type="continuationSeparator" w:id="0">
    <w:p w:rsidR="00E233EB" w:rsidRDefault="00E233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ZTR1C.tmp">
    <w:altName w:val="Cambria"/>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D92" w:rsidRDefault="005A2C40" w:rsidP="009B38B0">
    <w:pPr>
      <w:rPr>
        <w:rFonts w:ascii="Arial" w:hAnsi="Arial" w:cs="Arial"/>
        <w:b/>
        <w:sz w:val="12"/>
        <w:szCs w:val="12"/>
      </w:rPr>
    </w:pPr>
    <w:r>
      <w:rPr>
        <w:rFonts w:ascii="Arial" w:hAnsi="Arial" w:cs="Arial"/>
        <w:b/>
        <w:sz w:val="12"/>
        <w:szCs w:val="12"/>
      </w:rPr>
      <w:t>R-DA-005 Mayo de 2017</w:t>
    </w:r>
    <w:r>
      <w:rPr>
        <w:rFonts w:ascii="Arial" w:hAnsi="Arial" w:cs="Arial"/>
        <w:b/>
        <w:sz w:val="12"/>
        <w:szCs w:val="12"/>
      </w:rPr>
      <w:tab/>
    </w:r>
    <w:r>
      <w:rPr>
        <w:rFonts w:ascii="Arial" w:hAnsi="Arial" w:cs="Arial"/>
        <w:b/>
        <w:sz w:val="12"/>
        <w:szCs w:val="12"/>
      </w:rPr>
      <w:tab/>
    </w:r>
    <w:r>
      <w:rPr>
        <w:rFonts w:ascii="Arial" w:hAnsi="Arial" w:cs="Arial"/>
        <w:b/>
        <w:sz w:val="12"/>
        <w:szCs w:val="12"/>
      </w:rPr>
      <w:tab/>
    </w:r>
    <w:r>
      <w:rPr>
        <w:rFonts w:ascii="Arial" w:hAnsi="Arial" w:cs="Arial"/>
        <w:b/>
        <w:sz w:val="12"/>
        <w:szCs w:val="12"/>
      </w:rPr>
      <w:tab/>
    </w:r>
    <w:r>
      <w:rPr>
        <w:rFonts w:ascii="Arial" w:hAnsi="Arial" w:cs="Arial"/>
        <w:b/>
        <w:sz w:val="12"/>
        <w:szCs w:val="12"/>
      </w:rPr>
      <w:tab/>
    </w:r>
    <w:r>
      <w:rPr>
        <w:rFonts w:ascii="Arial" w:hAnsi="Arial" w:cs="Arial"/>
        <w:b/>
        <w:sz w:val="12"/>
        <w:szCs w:val="12"/>
      </w:rPr>
      <w:tab/>
    </w:r>
    <w:r>
      <w:rPr>
        <w:rFonts w:ascii="Arial" w:hAnsi="Arial" w:cs="Arial"/>
        <w:b/>
        <w:sz w:val="12"/>
        <w:szCs w:val="12"/>
      </w:rPr>
      <w:tab/>
    </w:r>
    <w:r>
      <w:rPr>
        <w:rFonts w:ascii="Arial" w:hAnsi="Arial" w:cs="Arial"/>
        <w:b/>
        <w:sz w:val="12"/>
        <w:szCs w:val="12"/>
      </w:rPr>
      <w:tab/>
    </w:r>
    <w:r>
      <w:rPr>
        <w:rFonts w:ascii="Arial" w:hAnsi="Arial" w:cs="Arial"/>
        <w:b/>
        <w:sz w:val="12"/>
        <w:szCs w:val="12"/>
      </w:rPr>
      <w:tab/>
    </w:r>
    <w:r w:rsidRPr="005149B6">
      <w:rPr>
        <w:rFonts w:ascii="Arial" w:hAnsi="Arial"/>
        <w:sz w:val="16"/>
        <w:szCs w:val="12"/>
        <w:lang w:val="es-ES"/>
      </w:rPr>
      <w:t xml:space="preserve">Página </w:t>
    </w:r>
    <w:r w:rsidRPr="005149B6">
      <w:rPr>
        <w:rFonts w:ascii="Arial" w:hAnsi="Arial"/>
        <w:b/>
        <w:sz w:val="16"/>
        <w:szCs w:val="12"/>
      </w:rPr>
      <w:fldChar w:fldCharType="begin"/>
    </w:r>
    <w:r w:rsidRPr="005149B6">
      <w:rPr>
        <w:rFonts w:ascii="Arial" w:hAnsi="Arial"/>
        <w:b/>
        <w:sz w:val="16"/>
        <w:szCs w:val="12"/>
      </w:rPr>
      <w:instrText>PAGE  \* Arabic  \* MERGEFORMAT</w:instrText>
    </w:r>
    <w:r w:rsidRPr="005149B6">
      <w:rPr>
        <w:rFonts w:ascii="Arial" w:hAnsi="Arial"/>
        <w:b/>
        <w:sz w:val="16"/>
        <w:szCs w:val="12"/>
      </w:rPr>
      <w:fldChar w:fldCharType="separate"/>
    </w:r>
    <w:r w:rsidR="00F86D28" w:rsidRPr="00F86D28">
      <w:rPr>
        <w:rFonts w:ascii="Arial" w:hAnsi="Arial"/>
        <w:b/>
        <w:noProof/>
        <w:sz w:val="16"/>
        <w:szCs w:val="12"/>
        <w:lang w:val="es-ES"/>
      </w:rPr>
      <w:t>1</w:t>
    </w:r>
    <w:r w:rsidRPr="005149B6">
      <w:rPr>
        <w:rFonts w:ascii="Arial" w:hAnsi="Arial"/>
        <w:b/>
        <w:sz w:val="16"/>
        <w:szCs w:val="12"/>
      </w:rPr>
      <w:fldChar w:fldCharType="end"/>
    </w:r>
    <w:r w:rsidRPr="005149B6">
      <w:rPr>
        <w:rFonts w:ascii="Arial" w:hAnsi="Arial"/>
        <w:sz w:val="16"/>
        <w:szCs w:val="12"/>
        <w:lang w:val="es-ES"/>
      </w:rPr>
      <w:t xml:space="preserve"> de </w:t>
    </w:r>
    <w:r w:rsidRPr="005149B6">
      <w:rPr>
        <w:rFonts w:ascii="Arial" w:hAnsi="Arial"/>
        <w:b/>
        <w:sz w:val="16"/>
        <w:szCs w:val="12"/>
      </w:rPr>
      <w:fldChar w:fldCharType="begin"/>
    </w:r>
    <w:r w:rsidRPr="005149B6">
      <w:rPr>
        <w:rFonts w:ascii="Arial" w:hAnsi="Arial"/>
        <w:b/>
        <w:sz w:val="16"/>
        <w:szCs w:val="12"/>
      </w:rPr>
      <w:instrText>NUMPAGES  \* Arabic  \* MERGEFORMAT</w:instrText>
    </w:r>
    <w:r w:rsidRPr="005149B6">
      <w:rPr>
        <w:rFonts w:ascii="Arial" w:hAnsi="Arial"/>
        <w:b/>
        <w:sz w:val="16"/>
        <w:szCs w:val="12"/>
      </w:rPr>
      <w:fldChar w:fldCharType="separate"/>
    </w:r>
    <w:r w:rsidR="00F86D28" w:rsidRPr="00F86D28">
      <w:rPr>
        <w:rFonts w:ascii="Arial" w:hAnsi="Arial"/>
        <w:b/>
        <w:noProof/>
        <w:sz w:val="16"/>
        <w:szCs w:val="12"/>
        <w:lang w:val="es-ES"/>
      </w:rPr>
      <w:t>4</w:t>
    </w:r>
    <w:r w:rsidRPr="005149B6">
      <w:rPr>
        <w:rFonts w:ascii="Arial" w:hAnsi="Arial"/>
        <w:b/>
        <w:sz w:val="16"/>
        <w:szCs w:val="12"/>
      </w:rPr>
      <w:fldChar w:fldCharType="end"/>
    </w:r>
  </w:p>
  <w:p w:rsidR="00E93D92" w:rsidRDefault="005A2C40" w:rsidP="009B38B0">
    <w:pPr>
      <w:rPr>
        <w:noProof/>
        <w:lang w:eastAsia="es-CO"/>
      </w:rPr>
    </w:pPr>
    <w:r>
      <w:rPr>
        <w:noProof/>
        <w:lang w:eastAsia="es-CO"/>
      </w:rPr>
      <w:drawing>
        <wp:anchor distT="0" distB="0" distL="114300" distR="114300" simplePos="0" relativeHeight="251660288" behindDoc="0" locked="0" layoutInCell="1" allowOverlap="1" wp14:anchorId="3F9F409A" wp14:editId="5B7E3188">
          <wp:simplePos x="0" y="0"/>
          <wp:positionH relativeFrom="column">
            <wp:posOffset>0</wp:posOffset>
          </wp:positionH>
          <wp:positionV relativeFrom="paragraph">
            <wp:posOffset>0</wp:posOffset>
          </wp:positionV>
          <wp:extent cx="6048111" cy="69532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501"/>
                  <a:stretch/>
                </pic:blipFill>
                <pic:spPr bwMode="auto">
                  <a:xfrm>
                    <a:off x="0" y="0"/>
                    <a:ext cx="6141678" cy="706082"/>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93D92" w:rsidRDefault="00E233EB" w:rsidP="009B38B0">
    <w:pPr>
      <w:rPr>
        <w:noProof/>
        <w:lang w:eastAsia="es-CO"/>
      </w:rPr>
    </w:pPr>
  </w:p>
  <w:p w:rsidR="00E93D92" w:rsidRDefault="00E233EB" w:rsidP="009B38B0">
    <w:pPr>
      <w:rPr>
        <w:rFonts w:ascii="Arial" w:hAnsi="Arial" w:cs="Arial"/>
        <w:b/>
        <w:sz w:val="12"/>
        <w:szCs w:val="12"/>
      </w:rPr>
    </w:pPr>
  </w:p>
  <w:p w:rsidR="00E93D92" w:rsidRPr="00A573F1" w:rsidRDefault="005A2C40" w:rsidP="00426AD7">
    <w:pPr>
      <w:pStyle w:val="Piedepgina"/>
      <w:tabs>
        <w:tab w:val="clear" w:pos="4419"/>
        <w:tab w:val="clear" w:pos="8838"/>
        <w:tab w:val="left" w:pos="5223"/>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3EB" w:rsidRDefault="00E233EB">
      <w:pPr>
        <w:spacing w:after="0" w:line="240" w:lineRule="auto"/>
      </w:pPr>
      <w:r>
        <w:separator/>
      </w:r>
    </w:p>
  </w:footnote>
  <w:footnote w:type="continuationSeparator" w:id="0">
    <w:p w:rsidR="00E233EB" w:rsidRDefault="00E233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D92" w:rsidRDefault="005A2C40">
    <w:pPr>
      <w:pStyle w:val="Encabezado"/>
    </w:pPr>
    <w:r>
      <w:rPr>
        <w:noProof/>
        <w:lang w:eastAsia="es-CO"/>
      </w:rPr>
      <w:drawing>
        <wp:anchor distT="0" distB="0" distL="114300" distR="114300" simplePos="0" relativeHeight="251659264" behindDoc="0" locked="0" layoutInCell="1" allowOverlap="1" wp14:anchorId="3D1AB298" wp14:editId="4442540D">
          <wp:simplePos x="0" y="0"/>
          <wp:positionH relativeFrom="column">
            <wp:posOffset>-1064525</wp:posOffset>
          </wp:positionH>
          <wp:positionV relativeFrom="paragraph">
            <wp:posOffset>27296</wp:posOffset>
          </wp:positionV>
          <wp:extent cx="7740650" cy="106829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7740650" cy="10682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6748B0E4"/>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1" w15:restartNumberingAfterBreak="0">
    <w:nsid w:val="0000000C"/>
    <w:multiLevelType w:val="multilevel"/>
    <w:tmpl w:val="620AA204"/>
    <w:lvl w:ilvl="0">
      <w:start w:val="1"/>
      <w:numFmt w:val="decimal"/>
      <w:lvlText w:val="%1."/>
      <w:lvlJc w:val="left"/>
      <w:pPr>
        <w:tabs>
          <w:tab w:val="num" w:pos="432"/>
        </w:tabs>
        <w:ind w:left="432" w:hanging="432"/>
      </w:pPr>
      <w:rPr>
        <w:b/>
        <w:color w:val="auto"/>
      </w:rPr>
    </w:lvl>
    <w:lvl w:ilvl="1">
      <w:start w:val="1"/>
      <w:numFmt w:val="decimal"/>
      <w:lvlText w:val="%1.%2"/>
      <w:lvlJc w:val="left"/>
      <w:pPr>
        <w:tabs>
          <w:tab w:val="num" w:pos="576"/>
        </w:tabs>
        <w:ind w:left="576" w:hanging="576"/>
      </w:p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6C4453B"/>
    <w:multiLevelType w:val="hybridMultilevel"/>
    <w:tmpl w:val="699A9BF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764294F"/>
    <w:multiLevelType w:val="hybridMultilevel"/>
    <w:tmpl w:val="990E56F0"/>
    <w:lvl w:ilvl="0" w:tplc="9710F06A">
      <w:start w:val="1"/>
      <w:numFmt w:val="decimal"/>
      <w:lvlText w:val="%1."/>
      <w:lvlJc w:val="left"/>
      <w:pPr>
        <w:ind w:left="360" w:hanging="360"/>
      </w:pPr>
      <w:rPr>
        <w:i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08F72CB9"/>
    <w:multiLevelType w:val="hybridMultilevel"/>
    <w:tmpl w:val="C0CA8B9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18535A6C"/>
    <w:multiLevelType w:val="hybridMultilevel"/>
    <w:tmpl w:val="6D52691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A9570E9"/>
    <w:multiLevelType w:val="hybridMultilevel"/>
    <w:tmpl w:val="B6C6400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15:restartNumberingAfterBreak="0">
    <w:nsid w:val="1AB00269"/>
    <w:multiLevelType w:val="hybridMultilevel"/>
    <w:tmpl w:val="41968508"/>
    <w:lvl w:ilvl="0" w:tplc="9710F06A">
      <w:start w:val="1"/>
      <w:numFmt w:val="decimal"/>
      <w:lvlText w:val="%1."/>
      <w:lvlJc w:val="left"/>
      <w:pPr>
        <w:ind w:left="360" w:hanging="360"/>
      </w:pPr>
      <w:rPr>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3CE5106"/>
    <w:multiLevelType w:val="hybridMultilevel"/>
    <w:tmpl w:val="4AF407C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00B64A9"/>
    <w:multiLevelType w:val="hybridMultilevel"/>
    <w:tmpl w:val="175C957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15:restartNumberingAfterBreak="0">
    <w:nsid w:val="35FA758E"/>
    <w:multiLevelType w:val="hybridMultilevel"/>
    <w:tmpl w:val="B40240F2"/>
    <w:lvl w:ilvl="0" w:tplc="D0D06446">
      <w:start w:val="1"/>
      <w:numFmt w:val="decimal"/>
      <w:lvlText w:val="%1."/>
      <w:lvlJc w:val="left"/>
      <w:pPr>
        <w:ind w:left="360" w:hanging="360"/>
      </w:pPr>
      <w:rPr>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15:restartNumberingAfterBreak="0">
    <w:nsid w:val="3F3B6BE7"/>
    <w:multiLevelType w:val="hybridMultilevel"/>
    <w:tmpl w:val="4A66A8AA"/>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3F3C338C"/>
    <w:multiLevelType w:val="hybridMultilevel"/>
    <w:tmpl w:val="7840B16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15:restartNumberingAfterBreak="0">
    <w:nsid w:val="4242169C"/>
    <w:multiLevelType w:val="hybridMultilevel"/>
    <w:tmpl w:val="07606BF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5D6E1AE7"/>
    <w:multiLevelType w:val="hybridMultilevel"/>
    <w:tmpl w:val="978C47E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6EB32260"/>
    <w:multiLevelType w:val="hybridMultilevel"/>
    <w:tmpl w:val="C9A6A070"/>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 w15:restartNumberingAfterBreak="0">
    <w:nsid w:val="70F249C9"/>
    <w:multiLevelType w:val="hybridMultilevel"/>
    <w:tmpl w:val="10F25A22"/>
    <w:lvl w:ilvl="0" w:tplc="240A000F">
      <w:start w:val="1"/>
      <w:numFmt w:val="decimal"/>
      <w:lvlText w:val="%1."/>
      <w:lvlJc w:val="left"/>
      <w:pPr>
        <w:ind w:left="36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71410FBD"/>
    <w:multiLevelType w:val="hybridMultilevel"/>
    <w:tmpl w:val="50BCADE2"/>
    <w:lvl w:ilvl="0" w:tplc="0A02316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76602460"/>
    <w:multiLevelType w:val="hybridMultilevel"/>
    <w:tmpl w:val="56B6EA30"/>
    <w:lvl w:ilvl="0" w:tplc="BAEA269C">
      <w:start w:val="1"/>
      <w:numFmt w:val="decimal"/>
      <w:lvlText w:val="%1."/>
      <w:lvlJc w:val="left"/>
      <w:pPr>
        <w:ind w:left="360" w:hanging="360"/>
      </w:pPr>
      <w:rPr>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9" w15:restartNumberingAfterBreak="0">
    <w:nsid w:val="7BC3319F"/>
    <w:multiLevelType w:val="hybridMultilevel"/>
    <w:tmpl w:val="C9EAA6A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13"/>
  </w:num>
  <w:num w:numId="5">
    <w:abstractNumId w:val="8"/>
  </w:num>
  <w:num w:numId="6">
    <w:abstractNumId w:val="6"/>
  </w:num>
  <w:num w:numId="7">
    <w:abstractNumId w:val="17"/>
  </w:num>
  <w:num w:numId="8">
    <w:abstractNumId w:val="12"/>
  </w:num>
  <w:num w:numId="9">
    <w:abstractNumId w:val="5"/>
  </w:num>
  <w:num w:numId="10">
    <w:abstractNumId w:val="16"/>
  </w:num>
  <w:num w:numId="11">
    <w:abstractNumId w:val="3"/>
  </w:num>
  <w:num w:numId="12">
    <w:abstractNumId w:val="7"/>
  </w:num>
  <w:num w:numId="13">
    <w:abstractNumId w:val="4"/>
  </w:num>
  <w:num w:numId="14">
    <w:abstractNumId w:val="14"/>
  </w:num>
  <w:num w:numId="15">
    <w:abstractNumId w:val="15"/>
  </w:num>
  <w:num w:numId="16">
    <w:abstractNumId w:val="18"/>
  </w:num>
  <w:num w:numId="17">
    <w:abstractNumId w:val="10"/>
  </w:num>
  <w:num w:numId="18">
    <w:abstractNumId w:val="19"/>
  </w:num>
  <w:num w:numId="19">
    <w:abstractNumId w:val="11"/>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049"/>
    <w:rsid w:val="00006CDF"/>
    <w:rsid w:val="00006FAA"/>
    <w:rsid w:val="000163AC"/>
    <w:rsid w:val="00017316"/>
    <w:rsid w:val="00037930"/>
    <w:rsid w:val="00085E34"/>
    <w:rsid w:val="000C38DE"/>
    <w:rsid w:val="000C3BFF"/>
    <w:rsid w:val="000D05CF"/>
    <w:rsid w:val="000D30B0"/>
    <w:rsid w:val="000D67CC"/>
    <w:rsid w:val="00104B12"/>
    <w:rsid w:val="00125841"/>
    <w:rsid w:val="001475D5"/>
    <w:rsid w:val="001610DA"/>
    <w:rsid w:val="00162799"/>
    <w:rsid w:val="001736A2"/>
    <w:rsid w:val="00180F75"/>
    <w:rsid w:val="0019614A"/>
    <w:rsid w:val="001A0BD7"/>
    <w:rsid w:val="001A7B4E"/>
    <w:rsid w:val="001B3CAC"/>
    <w:rsid w:val="001B47E4"/>
    <w:rsid w:val="001C710E"/>
    <w:rsid w:val="001E0168"/>
    <w:rsid w:val="001F732B"/>
    <w:rsid w:val="0022508D"/>
    <w:rsid w:val="0023539A"/>
    <w:rsid w:val="00241C55"/>
    <w:rsid w:val="00266880"/>
    <w:rsid w:val="00275BBB"/>
    <w:rsid w:val="00276F67"/>
    <w:rsid w:val="00276FD8"/>
    <w:rsid w:val="00284F02"/>
    <w:rsid w:val="002A4779"/>
    <w:rsid w:val="002D4606"/>
    <w:rsid w:val="002E723F"/>
    <w:rsid w:val="002F0C5E"/>
    <w:rsid w:val="003075F9"/>
    <w:rsid w:val="00353965"/>
    <w:rsid w:val="00360AAB"/>
    <w:rsid w:val="0036738F"/>
    <w:rsid w:val="00377CE6"/>
    <w:rsid w:val="00397AC6"/>
    <w:rsid w:val="003A42FF"/>
    <w:rsid w:val="003A4397"/>
    <w:rsid w:val="003E4F46"/>
    <w:rsid w:val="00414D51"/>
    <w:rsid w:val="00423E40"/>
    <w:rsid w:val="00430EBA"/>
    <w:rsid w:val="00443A1C"/>
    <w:rsid w:val="004451BC"/>
    <w:rsid w:val="004572AF"/>
    <w:rsid w:val="004A34B3"/>
    <w:rsid w:val="004A5F71"/>
    <w:rsid w:val="004D21AD"/>
    <w:rsid w:val="004D6F79"/>
    <w:rsid w:val="004E0363"/>
    <w:rsid w:val="004F4093"/>
    <w:rsid w:val="00512049"/>
    <w:rsid w:val="005134E5"/>
    <w:rsid w:val="00514263"/>
    <w:rsid w:val="00567452"/>
    <w:rsid w:val="005823C7"/>
    <w:rsid w:val="00597871"/>
    <w:rsid w:val="005A2C40"/>
    <w:rsid w:val="005A3B16"/>
    <w:rsid w:val="005B7382"/>
    <w:rsid w:val="005B7BE5"/>
    <w:rsid w:val="005F36D8"/>
    <w:rsid w:val="0065732E"/>
    <w:rsid w:val="006575A1"/>
    <w:rsid w:val="006632E5"/>
    <w:rsid w:val="0066753B"/>
    <w:rsid w:val="00683973"/>
    <w:rsid w:val="006A53D9"/>
    <w:rsid w:val="006D07E5"/>
    <w:rsid w:val="006E0DE1"/>
    <w:rsid w:val="006F31AB"/>
    <w:rsid w:val="00720D86"/>
    <w:rsid w:val="00756DFD"/>
    <w:rsid w:val="00757C11"/>
    <w:rsid w:val="007626E0"/>
    <w:rsid w:val="00771D21"/>
    <w:rsid w:val="00795305"/>
    <w:rsid w:val="007A173E"/>
    <w:rsid w:val="007A4806"/>
    <w:rsid w:val="007B01B6"/>
    <w:rsid w:val="007B0845"/>
    <w:rsid w:val="007B09BC"/>
    <w:rsid w:val="007B619D"/>
    <w:rsid w:val="007C12E2"/>
    <w:rsid w:val="007C181E"/>
    <w:rsid w:val="007D0779"/>
    <w:rsid w:val="008058B6"/>
    <w:rsid w:val="00846CDC"/>
    <w:rsid w:val="00847788"/>
    <w:rsid w:val="00847B9D"/>
    <w:rsid w:val="00857332"/>
    <w:rsid w:val="00857EBD"/>
    <w:rsid w:val="008605E9"/>
    <w:rsid w:val="008822BB"/>
    <w:rsid w:val="00884C0A"/>
    <w:rsid w:val="00897119"/>
    <w:rsid w:val="008B239F"/>
    <w:rsid w:val="00900731"/>
    <w:rsid w:val="0091357A"/>
    <w:rsid w:val="0091401F"/>
    <w:rsid w:val="009400AE"/>
    <w:rsid w:val="009515A4"/>
    <w:rsid w:val="009519B4"/>
    <w:rsid w:val="00973919"/>
    <w:rsid w:val="009746B5"/>
    <w:rsid w:val="00995C9A"/>
    <w:rsid w:val="00996D9B"/>
    <w:rsid w:val="009B33BA"/>
    <w:rsid w:val="009B751C"/>
    <w:rsid w:val="009C458E"/>
    <w:rsid w:val="009E2F7E"/>
    <w:rsid w:val="009F0061"/>
    <w:rsid w:val="00A23720"/>
    <w:rsid w:val="00A502A7"/>
    <w:rsid w:val="00A75A6A"/>
    <w:rsid w:val="00A8464D"/>
    <w:rsid w:val="00AA13BF"/>
    <w:rsid w:val="00AA2672"/>
    <w:rsid w:val="00AB1180"/>
    <w:rsid w:val="00AB1736"/>
    <w:rsid w:val="00AC4071"/>
    <w:rsid w:val="00AE0A4A"/>
    <w:rsid w:val="00B100C0"/>
    <w:rsid w:val="00B15C2B"/>
    <w:rsid w:val="00B25A12"/>
    <w:rsid w:val="00B27533"/>
    <w:rsid w:val="00B4346F"/>
    <w:rsid w:val="00B55339"/>
    <w:rsid w:val="00B55714"/>
    <w:rsid w:val="00B90418"/>
    <w:rsid w:val="00BA2895"/>
    <w:rsid w:val="00BE7368"/>
    <w:rsid w:val="00BF0351"/>
    <w:rsid w:val="00C21AD2"/>
    <w:rsid w:val="00C270D2"/>
    <w:rsid w:val="00C32F64"/>
    <w:rsid w:val="00C34132"/>
    <w:rsid w:val="00C354DA"/>
    <w:rsid w:val="00C629B9"/>
    <w:rsid w:val="00C8241A"/>
    <w:rsid w:val="00C82A02"/>
    <w:rsid w:val="00C842AA"/>
    <w:rsid w:val="00C8675D"/>
    <w:rsid w:val="00C94BFC"/>
    <w:rsid w:val="00CA1813"/>
    <w:rsid w:val="00CD1052"/>
    <w:rsid w:val="00CD3008"/>
    <w:rsid w:val="00CE5973"/>
    <w:rsid w:val="00CF0109"/>
    <w:rsid w:val="00D210EE"/>
    <w:rsid w:val="00D430A1"/>
    <w:rsid w:val="00D46AE0"/>
    <w:rsid w:val="00D65172"/>
    <w:rsid w:val="00D83B71"/>
    <w:rsid w:val="00D94E54"/>
    <w:rsid w:val="00DA2D31"/>
    <w:rsid w:val="00DC2A03"/>
    <w:rsid w:val="00DC30DE"/>
    <w:rsid w:val="00DD19C1"/>
    <w:rsid w:val="00DD693C"/>
    <w:rsid w:val="00DF2858"/>
    <w:rsid w:val="00DF499B"/>
    <w:rsid w:val="00E0291C"/>
    <w:rsid w:val="00E05A76"/>
    <w:rsid w:val="00E21EC3"/>
    <w:rsid w:val="00E233EB"/>
    <w:rsid w:val="00E3408D"/>
    <w:rsid w:val="00E71ECD"/>
    <w:rsid w:val="00E80652"/>
    <w:rsid w:val="00EB0C3E"/>
    <w:rsid w:val="00EC093E"/>
    <w:rsid w:val="00ED40D9"/>
    <w:rsid w:val="00ED45B9"/>
    <w:rsid w:val="00EE03A9"/>
    <w:rsid w:val="00EF4C3E"/>
    <w:rsid w:val="00F20503"/>
    <w:rsid w:val="00F20614"/>
    <w:rsid w:val="00F23191"/>
    <w:rsid w:val="00F60FC1"/>
    <w:rsid w:val="00F86D28"/>
    <w:rsid w:val="00F9546D"/>
    <w:rsid w:val="00FA4BB5"/>
    <w:rsid w:val="00FD126C"/>
    <w:rsid w:val="00FD4A8E"/>
    <w:rsid w:val="00FE514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0CB1EC-D716-4189-9733-85A0A17DB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1204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12049"/>
  </w:style>
  <w:style w:type="paragraph" w:styleId="Piedepgina">
    <w:name w:val="footer"/>
    <w:basedOn w:val="Normal"/>
    <w:link w:val="PiedepginaCar"/>
    <w:uiPriority w:val="99"/>
    <w:unhideWhenUsed/>
    <w:rsid w:val="0051204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12049"/>
  </w:style>
  <w:style w:type="paragraph" w:styleId="Prrafodelista">
    <w:name w:val="List Paragraph"/>
    <w:aliases w:val="Segundo nivel de viñetas,List Paragraph1"/>
    <w:basedOn w:val="Normal"/>
    <w:link w:val="PrrafodelistaCar"/>
    <w:uiPriority w:val="34"/>
    <w:qFormat/>
    <w:rsid w:val="00512049"/>
    <w:pPr>
      <w:spacing w:after="0" w:line="240" w:lineRule="auto"/>
      <w:ind w:left="720"/>
      <w:contextualSpacing/>
    </w:pPr>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nhideWhenUsed/>
    <w:rsid w:val="00512049"/>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512049"/>
    <w:rPr>
      <w:rFonts w:ascii="Times New Roman" w:eastAsia="Times New Roman" w:hAnsi="Times New Roman" w:cs="Times New Roman"/>
      <w:sz w:val="24"/>
      <w:szCs w:val="24"/>
      <w:lang w:val="es-ES" w:eastAsia="es-ES"/>
    </w:rPr>
  </w:style>
  <w:style w:type="paragraph" w:styleId="Sinespaciado">
    <w:name w:val="No Spacing"/>
    <w:link w:val="SinespaciadoCar"/>
    <w:uiPriority w:val="1"/>
    <w:qFormat/>
    <w:rsid w:val="00512049"/>
    <w:pPr>
      <w:spacing w:after="0" w:line="240" w:lineRule="auto"/>
    </w:pPr>
    <w:rPr>
      <w:rFonts w:ascii="Times New Roman" w:eastAsia="Calibri" w:hAnsi="Times New Roman" w:cs="Times New Roman"/>
      <w:sz w:val="24"/>
      <w:lang w:val="es-ES"/>
    </w:rPr>
  </w:style>
  <w:style w:type="character" w:customStyle="1" w:styleId="SinespaciadoCar">
    <w:name w:val="Sin espaciado Car"/>
    <w:link w:val="Sinespaciado"/>
    <w:uiPriority w:val="1"/>
    <w:rsid w:val="00512049"/>
    <w:rPr>
      <w:rFonts w:ascii="Times New Roman" w:eastAsia="Calibri" w:hAnsi="Times New Roman" w:cs="Times New Roman"/>
      <w:sz w:val="24"/>
      <w:lang w:val="es-ES"/>
    </w:rPr>
  </w:style>
  <w:style w:type="paragraph" w:styleId="Textodeglobo">
    <w:name w:val="Balloon Text"/>
    <w:basedOn w:val="Normal"/>
    <w:link w:val="TextodegloboCar"/>
    <w:uiPriority w:val="99"/>
    <w:semiHidden/>
    <w:unhideWhenUsed/>
    <w:rsid w:val="00104B1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04B12"/>
    <w:rPr>
      <w:rFonts w:ascii="Segoe UI" w:hAnsi="Segoe UI" w:cs="Segoe UI"/>
      <w:sz w:val="18"/>
      <w:szCs w:val="18"/>
    </w:rPr>
  </w:style>
  <w:style w:type="character" w:customStyle="1" w:styleId="TrabajosOCICar">
    <w:name w:val="Trabajos OCI Car"/>
    <w:basedOn w:val="Fuentedeprrafopredeter"/>
    <w:link w:val="TrabajosOCI"/>
    <w:locked/>
    <w:rsid w:val="00847B9D"/>
    <w:rPr>
      <w:rFonts w:ascii="Arial" w:eastAsia="Times New Roman" w:hAnsi="Arial" w:cs="Times New Roman"/>
      <w:sz w:val="24"/>
      <w:szCs w:val="24"/>
      <w:lang w:val="es-MX" w:eastAsia="es-ES"/>
    </w:rPr>
  </w:style>
  <w:style w:type="paragraph" w:customStyle="1" w:styleId="TrabajosOCI">
    <w:name w:val="Trabajos OCI"/>
    <w:basedOn w:val="Normal"/>
    <w:link w:val="TrabajosOCICar"/>
    <w:autoRedefine/>
    <w:qFormat/>
    <w:rsid w:val="00847B9D"/>
    <w:pPr>
      <w:spacing w:before="120" w:after="120" w:line="360" w:lineRule="auto"/>
      <w:jc w:val="both"/>
    </w:pPr>
    <w:rPr>
      <w:rFonts w:ascii="Arial" w:eastAsia="Times New Roman" w:hAnsi="Arial" w:cs="Times New Roman"/>
      <w:sz w:val="24"/>
      <w:szCs w:val="24"/>
      <w:lang w:val="es-MX" w:eastAsia="es-ES"/>
    </w:rPr>
  </w:style>
  <w:style w:type="character" w:customStyle="1" w:styleId="PrrafodelistaCar">
    <w:name w:val="Párrafo de lista Car"/>
    <w:aliases w:val="Segundo nivel de viñetas Car,List Paragraph1 Car"/>
    <w:link w:val="Prrafodelista"/>
    <w:uiPriority w:val="34"/>
    <w:locked/>
    <w:rsid w:val="00275BBB"/>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976</Words>
  <Characters>5371</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Brigite Alegna Charry Lopez</dc:creator>
  <cp:keywords/>
  <dc:description/>
  <cp:lastModifiedBy>Gina Alexandra Vaca Linares</cp:lastModifiedBy>
  <cp:revision>2</cp:revision>
  <cp:lastPrinted>2019-11-29T20:32:00Z</cp:lastPrinted>
  <dcterms:created xsi:type="dcterms:W3CDTF">2019-12-20T14:03:00Z</dcterms:created>
  <dcterms:modified xsi:type="dcterms:W3CDTF">2019-12-20T14:03:00Z</dcterms:modified>
</cp:coreProperties>
</file>